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Oct 30th,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East 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4  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46.68274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-63.99946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0" y="0"/>
                                      <a:chExt cx="6528816" cy="18293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528800" cy="1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0"/>
                                        <a:ext cx="6528816" cy="18293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8293" w="6528816">
                                            <a:moveTo>
                                              <a:pt x="0" y="9147"/>
                                            </a:moveTo>
                                            <a:lnTo>
                                              <a:pt x="6528816" y="914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1827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1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3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               Bankfull Depth (m): </w:t>
      </w:r>
      <w:r w:rsidDel="00000000" w:rsidR="00000000" w:rsidRPr="00000000">
        <w:rPr>
          <w:rtl w:val="0"/>
        </w:rPr>
        <w:t xml:space="preserve">0.61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2.55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0.10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4.4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7.63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0.61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90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2.41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60% hardening with sediment at beginning and end of reach due to culvert removal and span bridge that was installed Sept 2024.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replaced with span bridges at beginning and end of Reach 3.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300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#9964 - #9978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Beaver runaround at the end of this reach. See pic #9978.  Beavers were an issue prior to span bridge installation. 3 crushed culverts were removed allowing the stream to be fully open which should deter dam building.  This area will be checked periodically.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Hetm/BbeABfvnbJEprRooGIqQ==">CgMxLjA4AHIhMWVVYVlvNXBjWk5hbmtDdkxKX1N4WGNERUZFRmZEc3Ji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